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70BC" w14:textId="6A336D78" w:rsidR="003F0654" w:rsidRDefault="008B605B" w:rsidP="009A3241">
      <w:pPr>
        <w:ind w:hanging="1800"/>
      </w:pPr>
      <w:r>
        <w:rPr>
          <w:noProof/>
          <w:lang w:val="en-CA" w:eastAsia="en-CA"/>
        </w:rPr>
        <w:drawing>
          <wp:inline distT="0" distB="0" distL="0" distR="0" wp14:anchorId="51FB897B" wp14:editId="5B08F8EB">
            <wp:extent cx="7772400" cy="195352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getown.png"/>
                    <pic:cNvPicPr/>
                  </pic:nvPicPr>
                  <pic:blipFill>
                    <a:blip r:embed="rId5">
                      <a:extLst>
                        <a:ext uri="{28A0092B-C50C-407E-A947-70E740481C1C}">
                          <a14:useLocalDpi xmlns:a14="http://schemas.microsoft.com/office/drawing/2010/main" val="0"/>
                        </a:ext>
                      </a:extLst>
                    </a:blip>
                    <a:stretch>
                      <a:fillRect/>
                    </a:stretch>
                  </pic:blipFill>
                  <pic:spPr>
                    <a:xfrm>
                      <a:off x="0" y="0"/>
                      <a:ext cx="7772400" cy="1953523"/>
                    </a:xfrm>
                    <a:prstGeom prst="rect">
                      <a:avLst/>
                    </a:prstGeom>
                  </pic:spPr>
                </pic:pic>
              </a:graphicData>
            </a:graphic>
          </wp:inline>
        </w:drawing>
      </w:r>
    </w:p>
    <w:p w14:paraId="09A7ACA0" w14:textId="77777777" w:rsidR="009A3241" w:rsidRDefault="009A3241" w:rsidP="009A3241">
      <w:pPr>
        <w:ind w:hanging="1800"/>
      </w:pPr>
    </w:p>
    <w:p w14:paraId="280CF49D" w14:textId="77777777" w:rsidR="000008E3" w:rsidRDefault="000008E3" w:rsidP="000008E3">
      <w:pPr>
        <w:ind w:right="1800"/>
        <w:jc w:val="center"/>
        <w:rPr>
          <w:b/>
          <w:sz w:val="36"/>
        </w:rPr>
      </w:pPr>
    </w:p>
    <w:p w14:paraId="00961ED1" w14:textId="6B795136" w:rsidR="009A3241" w:rsidRDefault="00D072AE" w:rsidP="000008E3">
      <w:pPr>
        <w:ind w:right="1800"/>
        <w:jc w:val="center"/>
        <w:rPr>
          <w:b/>
          <w:sz w:val="36"/>
        </w:rPr>
      </w:pPr>
      <w:r>
        <w:rPr>
          <w:b/>
          <w:sz w:val="36"/>
        </w:rPr>
        <w:t>Responsible</w:t>
      </w:r>
      <w:r w:rsidR="000008E3" w:rsidRPr="000008E3">
        <w:rPr>
          <w:b/>
          <w:sz w:val="36"/>
        </w:rPr>
        <w:t xml:space="preserve"> Minerals Policy</w:t>
      </w:r>
    </w:p>
    <w:p w14:paraId="714DEC13" w14:textId="77777777" w:rsidR="00D072AE" w:rsidRDefault="00D072AE" w:rsidP="000008E3">
      <w:pPr>
        <w:ind w:right="1800"/>
        <w:jc w:val="center"/>
        <w:rPr>
          <w:b/>
          <w:sz w:val="36"/>
        </w:rPr>
      </w:pPr>
    </w:p>
    <w:p w14:paraId="0D79DC0F" w14:textId="16FBD9E8" w:rsidR="00D072AE" w:rsidRDefault="00D072AE" w:rsidP="00D072AE">
      <w:pPr>
        <w:ind w:right="1800"/>
        <w:rPr>
          <w:b/>
          <w:szCs w:val="18"/>
        </w:rPr>
      </w:pPr>
      <w:r>
        <w:rPr>
          <w:b/>
          <w:szCs w:val="18"/>
        </w:rPr>
        <w:t>Purpose and Commitment:</w:t>
      </w:r>
    </w:p>
    <w:p w14:paraId="6C90D747" w14:textId="77777777" w:rsidR="00D072AE" w:rsidRDefault="00D072AE" w:rsidP="00D072AE">
      <w:pPr>
        <w:ind w:right="1800"/>
        <w:rPr>
          <w:b/>
          <w:szCs w:val="18"/>
        </w:rPr>
      </w:pPr>
    </w:p>
    <w:p w14:paraId="1FEBE754" w14:textId="02D114E0" w:rsidR="000008E3" w:rsidRDefault="00D072AE" w:rsidP="009A3241">
      <w:pPr>
        <w:ind w:right="1800"/>
        <w:rPr>
          <w:bCs/>
          <w:sz w:val="20"/>
          <w:szCs w:val="14"/>
        </w:rPr>
      </w:pPr>
      <w:r>
        <w:rPr>
          <w:bCs/>
          <w:sz w:val="20"/>
          <w:szCs w:val="14"/>
        </w:rPr>
        <w:tab/>
      </w:r>
      <w:r w:rsidRPr="00D072AE">
        <w:rPr>
          <w:bCs/>
          <w:sz w:val="20"/>
          <w:szCs w:val="14"/>
        </w:rPr>
        <w:t xml:space="preserve">KSR International </w:t>
      </w:r>
      <w:r>
        <w:rPr>
          <w:bCs/>
          <w:sz w:val="20"/>
          <w:szCs w:val="14"/>
        </w:rPr>
        <w:t xml:space="preserve">Inc. is committed to the responsible sourcing </w:t>
      </w:r>
      <w:r w:rsidR="00A01791">
        <w:rPr>
          <w:bCs/>
          <w:sz w:val="20"/>
          <w:szCs w:val="14"/>
        </w:rPr>
        <w:t xml:space="preserve">and use of minerals. We recognize that the extraction, processing, and trade of minerals can contribute to significant environmental and social challenges, including human rights violations, conflict financing and ecological degradation. Our goal is to ensure that all minerals used in our operations and supply chain are obtained in a manner that upholds ethical, environmental, and legal standards. </w:t>
      </w:r>
    </w:p>
    <w:p w14:paraId="58B2F157" w14:textId="77777777" w:rsidR="00A01791" w:rsidRDefault="00A01791" w:rsidP="009A3241">
      <w:pPr>
        <w:ind w:right="1800"/>
        <w:rPr>
          <w:bCs/>
          <w:sz w:val="20"/>
          <w:szCs w:val="14"/>
        </w:rPr>
      </w:pPr>
    </w:p>
    <w:p w14:paraId="5CBFFEC5" w14:textId="37A49260" w:rsidR="00A01791" w:rsidRDefault="00A01791" w:rsidP="009A3241">
      <w:pPr>
        <w:ind w:right="1800"/>
        <w:rPr>
          <w:b/>
          <w:szCs w:val="18"/>
        </w:rPr>
      </w:pPr>
      <w:r>
        <w:rPr>
          <w:b/>
          <w:szCs w:val="18"/>
        </w:rPr>
        <w:t>Scope:</w:t>
      </w:r>
    </w:p>
    <w:p w14:paraId="1E0C7F9C" w14:textId="60884CF3" w:rsidR="00A01791" w:rsidRDefault="00A01791" w:rsidP="009A3241">
      <w:pPr>
        <w:ind w:right="1800"/>
        <w:rPr>
          <w:bCs/>
          <w:sz w:val="20"/>
          <w:szCs w:val="14"/>
        </w:rPr>
      </w:pPr>
      <w:r>
        <w:rPr>
          <w:bCs/>
          <w:sz w:val="20"/>
          <w:szCs w:val="14"/>
        </w:rPr>
        <w:tab/>
      </w:r>
    </w:p>
    <w:p w14:paraId="6EE345E4" w14:textId="4DAAF504" w:rsidR="00A01791" w:rsidRDefault="00A01791" w:rsidP="009A3241">
      <w:pPr>
        <w:ind w:right="1800"/>
        <w:rPr>
          <w:bCs/>
          <w:sz w:val="20"/>
          <w:szCs w:val="14"/>
        </w:rPr>
      </w:pPr>
      <w:r>
        <w:rPr>
          <w:bCs/>
          <w:sz w:val="20"/>
          <w:szCs w:val="14"/>
        </w:rPr>
        <w:tab/>
        <w:t xml:space="preserve">This policy applies to all </w:t>
      </w:r>
      <w:r w:rsidRPr="00A01791">
        <w:rPr>
          <w:bCs/>
          <w:sz w:val="20"/>
          <w:szCs w:val="14"/>
        </w:rPr>
        <w:t xml:space="preserve">KSR International </w:t>
      </w:r>
      <w:r>
        <w:rPr>
          <w:bCs/>
          <w:sz w:val="20"/>
          <w:szCs w:val="14"/>
        </w:rPr>
        <w:t xml:space="preserve">Inc. employees, subsidiaries, contractors and suppliers involved in the procurement, use or management of minerals or mineral-containing materials. It specifically covers Tin, Tantalum, Tungsten, Gold (3TGs) and any other minerals identified by international authorities as high-risk or conflict affected. </w:t>
      </w:r>
    </w:p>
    <w:p w14:paraId="6B2DF2A8" w14:textId="77777777" w:rsidR="0040097C" w:rsidRDefault="0040097C" w:rsidP="009A3241">
      <w:pPr>
        <w:ind w:right="1800"/>
        <w:rPr>
          <w:bCs/>
          <w:sz w:val="20"/>
          <w:szCs w:val="14"/>
        </w:rPr>
      </w:pPr>
    </w:p>
    <w:p w14:paraId="4211B98C" w14:textId="3B15C3C3" w:rsidR="0040097C" w:rsidRDefault="0040097C" w:rsidP="009A3241">
      <w:pPr>
        <w:ind w:right="1800"/>
        <w:rPr>
          <w:bCs/>
          <w:szCs w:val="18"/>
        </w:rPr>
      </w:pPr>
      <w:r>
        <w:rPr>
          <w:b/>
          <w:szCs w:val="18"/>
        </w:rPr>
        <w:t>Ethical Sourcing:</w:t>
      </w:r>
    </w:p>
    <w:p w14:paraId="2B7E9A7F" w14:textId="77777777" w:rsidR="0040097C" w:rsidRDefault="0040097C" w:rsidP="009A3241">
      <w:pPr>
        <w:ind w:right="1800"/>
        <w:rPr>
          <w:bCs/>
          <w:szCs w:val="18"/>
        </w:rPr>
      </w:pPr>
    </w:p>
    <w:p w14:paraId="30B40421" w14:textId="267089F8" w:rsidR="0040097C" w:rsidRDefault="0040097C" w:rsidP="009A3241">
      <w:pPr>
        <w:ind w:right="1800"/>
        <w:rPr>
          <w:bCs/>
          <w:sz w:val="20"/>
          <w:szCs w:val="14"/>
        </w:rPr>
      </w:pPr>
      <w:r>
        <w:rPr>
          <w:bCs/>
          <w:sz w:val="20"/>
          <w:szCs w:val="14"/>
        </w:rPr>
        <w:tab/>
        <w:t xml:space="preserve">We will not knowingly source minerals that finance or support armed conflict, forced labor or human rights abuses. We require suppliers to trace the origin of minerals used in their products and to disclose smelters and refiners in their supply chains. We expect all suppliers to align with </w:t>
      </w:r>
      <w:r w:rsidRPr="0040097C">
        <w:rPr>
          <w:b/>
          <w:sz w:val="20"/>
          <w:szCs w:val="14"/>
        </w:rPr>
        <w:t>OECD Due Diligence Guidance for Responsible Supply Chains of Minerals from Conflict-Affected and High-Risk Areas</w:t>
      </w:r>
      <w:r>
        <w:rPr>
          <w:b/>
          <w:sz w:val="20"/>
          <w:szCs w:val="14"/>
        </w:rPr>
        <w:t xml:space="preserve">. </w:t>
      </w:r>
      <w:r>
        <w:rPr>
          <w:bCs/>
          <w:sz w:val="20"/>
          <w:szCs w:val="14"/>
        </w:rPr>
        <w:t xml:space="preserve">Suppliers must provide evidence of due diligence (CMRT, EMRT, AMRT). </w:t>
      </w:r>
    </w:p>
    <w:p w14:paraId="1D82611C" w14:textId="77777777" w:rsidR="0040097C" w:rsidRDefault="0040097C" w:rsidP="009A3241">
      <w:pPr>
        <w:ind w:right="1800"/>
        <w:rPr>
          <w:bCs/>
          <w:sz w:val="20"/>
          <w:szCs w:val="14"/>
        </w:rPr>
      </w:pPr>
    </w:p>
    <w:p w14:paraId="42108023" w14:textId="1F5B947A" w:rsidR="0040097C" w:rsidRDefault="0040097C" w:rsidP="009A3241">
      <w:pPr>
        <w:ind w:right="1800"/>
        <w:rPr>
          <w:bCs/>
          <w:szCs w:val="18"/>
        </w:rPr>
      </w:pPr>
      <w:r>
        <w:rPr>
          <w:b/>
          <w:szCs w:val="18"/>
        </w:rPr>
        <w:t>Environmental Responsibility:</w:t>
      </w:r>
    </w:p>
    <w:p w14:paraId="3A911077" w14:textId="77777777" w:rsidR="0040097C" w:rsidRDefault="0040097C" w:rsidP="009A3241">
      <w:pPr>
        <w:ind w:right="1800"/>
        <w:rPr>
          <w:bCs/>
          <w:szCs w:val="18"/>
        </w:rPr>
      </w:pPr>
    </w:p>
    <w:p w14:paraId="7960FFED" w14:textId="77777777" w:rsidR="00527140" w:rsidRDefault="0040097C" w:rsidP="009A3241">
      <w:pPr>
        <w:ind w:right="1800"/>
        <w:rPr>
          <w:bCs/>
          <w:sz w:val="20"/>
          <w:szCs w:val="14"/>
        </w:rPr>
      </w:pPr>
      <w:r>
        <w:rPr>
          <w:bCs/>
          <w:sz w:val="20"/>
          <w:szCs w:val="14"/>
        </w:rPr>
        <w:tab/>
        <w:t>We prioritize sourcing from suppliers that demonstrate sustainable mining and refining practices</w:t>
      </w:r>
      <w:r w:rsidR="00527140">
        <w:rPr>
          <w:bCs/>
          <w:sz w:val="20"/>
          <w:szCs w:val="14"/>
        </w:rPr>
        <w:t xml:space="preserve">, including waste reduction, water management and land rehabilitation. We support circular economic initiatives by promoting the recycling and reuse of mineral materials where feasible. We aim to reduce the environmental footprint associated with mineral use across our products, packaging and operations. </w:t>
      </w:r>
    </w:p>
    <w:p w14:paraId="59318CED" w14:textId="77777777" w:rsidR="00527140" w:rsidRDefault="00527140" w:rsidP="009A3241">
      <w:pPr>
        <w:ind w:right="1800"/>
        <w:rPr>
          <w:bCs/>
          <w:sz w:val="20"/>
          <w:szCs w:val="14"/>
        </w:rPr>
      </w:pPr>
    </w:p>
    <w:p w14:paraId="7DA24EF5" w14:textId="77777777" w:rsidR="00527140" w:rsidRDefault="00527140" w:rsidP="009A3241">
      <w:pPr>
        <w:ind w:right="1800"/>
        <w:rPr>
          <w:bCs/>
          <w:szCs w:val="18"/>
        </w:rPr>
      </w:pPr>
      <w:r>
        <w:rPr>
          <w:b/>
          <w:szCs w:val="18"/>
        </w:rPr>
        <w:t>Transparency and Compliance:</w:t>
      </w:r>
    </w:p>
    <w:p w14:paraId="070B9F50" w14:textId="77777777" w:rsidR="00527140" w:rsidRDefault="00527140" w:rsidP="009A3241">
      <w:pPr>
        <w:ind w:right="1800"/>
        <w:rPr>
          <w:bCs/>
          <w:szCs w:val="18"/>
        </w:rPr>
      </w:pPr>
    </w:p>
    <w:p w14:paraId="0726EFC0" w14:textId="6FF74B76" w:rsidR="0040097C" w:rsidRPr="0040097C" w:rsidRDefault="00527140" w:rsidP="009A3241">
      <w:pPr>
        <w:ind w:right="1800"/>
        <w:rPr>
          <w:bCs/>
          <w:sz w:val="20"/>
          <w:szCs w:val="14"/>
        </w:rPr>
      </w:pPr>
      <w:r>
        <w:rPr>
          <w:bCs/>
          <w:szCs w:val="18"/>
        </w:rPr>
        <w:tab/>
      </w:r>
      <w:r w:rsidRPr="00527140">
        <w:rPr>
          <w:bCs/>
          <w:sz w:val="20"/>
          <w:szCs w:val="14"/>
        </w:rPr>
        <w:t>KSR International Inc.</w:t>
      </w:r>
      <w:r w:rsidRPr="00527140">
        <w:rPr>
          <w:bCs/>
          <w:sz w:val="16"/>
          <w:szCs w:val="10"/>
        </w:rPr>
        <w:t xml:space="preserve"> </w:t>
      </w:r>
      <w:r w:rsidRPr="00527140">
        <w:rPr>
          <w:bCs/>
          <w:sz w:val="20"/>
          <w:szCs w:val="14"/>
        </w:rPr>
        <w:t>will maintain</w:t>
      </w:r>
      <w:r>
        <w:rPr>
          <w:bCs/>
          <w:sz w:val="20"/>
          <w:szCs w:val="14"/>
        </w:rPr>
        <w:t xml:space="preserve"> and disclose information regarding mineral sourcing practices in accordance with applicable laws and regulations, such as the </w:t>
      </w:r>
      <w:r w:rsidRPr="00527140">
        <w:rPr>
          <w:b/>
          <w:sz w:val="20"/>
          <w:szCs w:val="14"/>
        </w:rPr>
        <w:t>U.S. Dodd-Frank Act Section 1502 and EU Conflict Minerals Regulation</w:t>
      </w:r>
      <w:r>
        <w:rPr>
          <w:bCs/>
          <w:sz w:val="20"/>
          <w:szCs w:val="14"/>
        </w:rPr>
        <w:t xml:space="preserve">. We will conduct supplier assessments to ensure adherence to this policy. Non-compliance </w:t>
      </w:r>
      <w:r w:rsidR="006A5204">
        <w:rPr>
          <w:bCs/>
          <w:sz w:val="20"/>
          <w:szCs w:val="14"/>
        </w:rPr>
        <w:t xml:space="preserve">by suppliers may result in corrective action, suspension or termination of business relationships. </w:t>
      </w:r>
    </w:p>
    <w:sectPr w:rsidR="0040097C" w:rsidRPr="0040097C" w:rsidSect="009A3241">
      <w:pgSz w:w="12240" w:h="15840"/>
      <w:pgMar w:top="0" w:right="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208D6"/>
    <w:multiLevelType w:val="hybridMultilevel"/>
    <w:tmpl w:val="E24053EA"/>
    <w:lvl w:ilvl="0" w:tplc="165ABFF0">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429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241"/>
    <w:rsid w:val="000008E3"/>
    <w:rsid w:val="001A716D"/>
    <w:rsid w:val="0031482E"/>
    <w:rsid w:val="003F0654"/>
    <w:rsid w:val="0040097C"/>
    <w:rsid w:val="00527140"/>
    <w:rsid w:val="006542D0"/>
    <w:rsid w:val="006A5204"/>
    <w:rsid w:val="007D2B02"/>
    <w:rsid w:val="008B605B"/>
    <w:rsid w:val="009A3241"/>
    <w:rsid w:val="009E68D2"/>
    <w:rsid w:val="00A01791"/>
    <w:rsid w:val="00A27155"/>
    <w:rsid w:val="00BF7CA0"/>
    <w:rsid w:val="00D072AE"/>
    <w:rsid w:val="00DA12D7"/>
    <w:rsid w:val="00F3254C"/>
    <w:rsid w:val="00F3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95270"/>
  <w14:defaultImageDpi w14:val="300"/>
  <w15:docId w15:val="{8975187A-BDB2-4482-9F0E-6006D492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241"/>
    <w:rPr>
      <w:rFonts w:ascii="Lucida Grande" w:hAnsi="Lucida Grande"/>
      <w:sz w:val="18"/>
      <w:szCs w:val="18"/>
    </w:rPr>
  </w:style>
  <w:style w:type="character" w:customStyle="1" w:styleId="BalloonTextChar">
    <w:name w:val="Balloon Text Char"/>
    <w:basedOn w:val="DefaultParagraphFont"/>
    <w:link w:val="BalloonText"/>
    <w:uiPriority w:val="99"/>
    <w:semiHidden/>
    <w:rsid w:val="009A3241"/>
    <w:rPr>
      <w:rFonts w:ascii="Lucida Grande" w:hAnsi="Lucida Grande"/>
      <w:sz w:val="18"/>
      <w:szCs w:val="18"/>
    </w:rPr>
  </w:style>
  <w:style w:type="paragraph" w:styleId="ListParagraph">
    <w:name w:val="List Paragraph"/>
    <w:basedOn w:val="Normal"/>
    <w:uiPriority w:val="34"/>
    <w:qFormat/>
    <w:rsid w:val="00000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Beightol</dc:creator>
  <cp:lastModifiedBy>Vaughan, Jay</cp:lastModifiedBy>
  <cp:revision>4</cp:revision>
  <cp:lastPrinted>2018-04-18T15:35:00Z</cp:lastPrinted>
  <dcterms:created xsi:type="dcterms:W3CDTF">2018-04-18T16:26:00Z</dcterms:created>
  <dcterms:modified xsi:type="dcterms:W3CDTF">2025-11-04T14:54:00Z</dcterms:modified>
</cp:coreProperties>
</file>